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включении в реестр требований кредиторов должника (далее – реестр) задолженности в размере 9 937 700 рублей, в том числе: 750 000 рублей основного долга, 8 827 500 рублей неустойки, 350 000 рублей штрафа, 10 200 рублей расходов по уплате государственной пошлины. Определением Арбитражного суда Красноярского края от 19.07.2021 заявление удовлетворено частично. Требование кредитора в размере 6 007 700 рублей, в том числе: 760 200 рублей основного долга, 350 000 рублей штрафа, 4 897 500 рублей неустойки признано обоснованным и подлежащим удовлетворению за счёт имущества должника, оставшегося после удовлетворения требований реестровых кредиторов. В удовлетворении остальной части заявления отказано. Постановлением Третьего арбитражного апелляционного суда от 17.09.2021, оставленным без изменения постановлением Арбитражного суда Восточно-Сибирского округа от 08.12.2021, данное определение изменено. Требование кредитора в размере 760 200 рублей основного долга, 350 000 рублей штрафа, 700 000 рублей неустойки признано обоснованным и подлежащим удовлетворению за счёт имущества должника, оставшегося после удовлетворения требований реестровых кредиторов.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Исходя из доводов кассационной жалобы, заявитель не согласен с обжалуемыми судебными актами судов в части снижения размера неустойки.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330, 333 Гражданского кодекса Российской Федерации, разъяснениями, содержащимися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документально подтверждённого факта заявления стороной устного ходатайства о снижении неустойки, в связи с чем, ввиду компенсационного характера последней, установленных по делу обстоятельств длительного не обращения кредитора с заявлением о взыскании, явной несоразмерности последствиям неисполнения обязательства и сумме основного долга, снизили её размер. Выводы судов апелляционной инстанции и округа в обжалуемой части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Коновалову Евгению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