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19.11.2021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Принимая во внимание положения части 3 статьи 291.5 Арбитражного процессуального кодекса Российской Федерации,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своевременное направление первоначальной жалобы (15.11.2021), а также незамедлительное устранение заявителем причин, послуживших основанием для возврата первоначально поданной жалобы,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 Суд: Верховный Суд РФ (подробнее) Истцы: ИП Селиванова Евгения Юрьевна (подробнее) Ответчики: ГУ Управление Пенсионного фонда Российской Федерации в Елизовском районе Камчатского края межрайонное (подробнее) Иные лица: Арбитражный суд Дальневосточного округа (подробнее) Городилова Елена Валентиновна - представитель истца (подробнее) Пятый арбитражный апелляционный суд (подробнее) Судьи дела: Першутов А.Г. (судья) (подробнее) Последние документы по делу: Определение от 16 марта 2022 г. по делу № А24-466/2021 Определение от 24 ноября 2021 г. по делу № А24-466/2021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