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24.03.2021, оставленным без изменения постановлениями Десятого арбитражного апелляционного суда от 18.06.2021 и Арбитражного суда Московского округа от 17.11.2021,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всех налогов и сборов за период с 01.01.2013 по 31.12.2015 инспекцией вынесено оспариваемое решение, которым обществу доначислены налог на прибыль и НДС, начислены соответствующие суммы пеней и штрафа. Доначисление оспариваемым решением указанных налогов связано с выводами инспекции о согласованности действий общества с контрагентами, направленных на уклонение от уплаты налогов путем формирования фиктивного документооборота, что предполагает сокрытие (неполное отражение) имевших место реальных финансово-хозяйственных взаимоотношений. Решением Управления Федеральной налоговой службы по Московской области от 11.06.2020 № 07-12/041130,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90, 149, 171, 172,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принимая во внимание обстоятельства, установленные по результатам рассмотрения дел № А21-4227/10, № А41-5806/2010, № А21-69/2010, № А68-96889/2017,суды пришли к выводу о правомерности произведенных инспекцией доначислений соответствующих налогов, сумм пеней и штрафов. Судебные инстанции исходили из создания обществом фиктивного документооборота, не отражающего реальные отношения с контрагентами в целях получения необоснованной налоговой выгоды путем неправомерного включения в состав расходов по налогу на прибыль организаций и в состав налоговых вычетов по НДС сумм затрат по взаимоотношениям со спорными контрагентами. При исследовании обстоятельств дела установлено, что первичные документы, представленные обществом, имеют определенные искажения: несоответствия в датах совершения хозяйственных операций, имеют признаки их составления «задним числом»; не отражают реальные отношения с 3 контрагентами. Также установлена согласованность в действиях должностных лиц налогоплательщика и иных организаций, участвующих в схеме ухода от налогообложения; аффилированность контрагентов и общества. Кроме того, суды принимая во внимание приобретение товара непосредственно у производителя, пришли к выводу об отсутствии оснований для расчета понесенных затрат налогоплательщика исходя из «рыночных» цен. Выводы судов основаны не на отдельно установленных фактах и выборочной оценке доказательств, а на результатах исследования и оценки доказательств, представленных сторонами, в их совокупности и взаимосвязи.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«ТЕЛЕМИКС»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