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изготовлении текста указанного определения допущены опечатки при указании наименования заявителя кассационной жалобы, которые подлежат исправлению. Поскольку исправление опечаток не влияет на существо принятого судебного акта, данные опечатки подлежат исправлению на основании части 3 статьи 179 Арбитражного процессуального кодекса Российской Федерации. Руководствуясь статьями 179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внести исправление в определение Верховного Суда Российской Федерации от 14.03.2022 № 301-ЭС22-3420, указав во вводной, мотивировочной и резолютивной частях правильное наименование заявителя кассационной жалобы – общество с ограниченной ответственностью «Первая Транспортная Медиакомпания». Судья Верховного Суда Российской Федерации М.К. Антонова Суд: Верховный Суд РФ (подробнее) Истцы: Министерство транспорта и дорожного хозяйства Чувашской Республики (подробнее) Ответчики: Управление Федеральной антимонопольной службы по Чувашской Республике-Чувашии (подробнее) Иные лица: ПЕРВЫЙ АРБИТРАЖНЫЙ АПЕЛЛЯЦИОННЫЙ СУД (подробнее) Территориальный отдел госавтонадзора по Чувашской Республике Средне-Волжского межрегионального управления государственного автодорожного надзора Федеральной службы по надзору в сфере транспорта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