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05.03.2022 (согласно отметке на почтовом конверте) повторно направил в Верховный Суд Российской Федерации указанную кассационную жалобу, к которой приложил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2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указывает на то, что первоначальная жалоба (возвращена письмом Верховного Суда Российской Федерации от 20.01.2022 № 306-ЭС22-647 в связи с пропуском срока) была направлена им в установленный срок (17.12.2021) через отделение ООО «Национальная почтовая служба – Каспий». Однако представленными заявителем сведениями не подтверждается, что ООО «Национальной почтовая служба» в данном случае оказывало заявителю услуги почтовой связи в качестве организации почтовой связи в том смысле, в котором им придают значение положения Федерального закона от 17.07.1999 № 176-ФЗ «О почтовой связи». Исходя из отметки на почтовом конверте, первоначальная кассационная жалоба принята в отделении почтовой связи АО «Почта России» 28.12.2021 за пределами установленного срока. 3 Таким образом, поскольку данные АО «Почта России» свидетельствуют о передаче жалобы в отделение организации почтовой связи за пределами срока, доводы о своевременной подаче жалобы подлежат отклонению. В соответствии с частью 2 статьи 9 Арбитражного процессуального кодекса Российской Федерации лица, участвующие в деле, несут риск наступления последствий совершения или не совершения ими процессуальных действий. Поскольку в ходатайстве не приведено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муниципального унитарного предприятия г. Астрахани «Астрводоканал»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