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Мурманской области от 20.05.2021, оставленным без изменения постановлением Тринадцатого арбитражного апелляционного суда от 15.07.2021 и постановлением Арбитражного суда Северо-Западного округа от 17.11.2021, иск удовлетворен. В кассационной жалобе порт просит об отмене судебных актов, ссылаясь на невозникновение права на взимание платы в связи с отсутствием нарушения договорного срока доставки груза.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нарушение нормативного (расчетного) срока доставки груза, указанного в накладных на станции отправления, в связи с несоблюдением портом согласованного с ОАО «РЖД» в договоре от 14.02.2019 № 4ЭП/19/М срока нахождения вагонов на путях общего пользования, зафиксированным актами общей формы, поэтому признали заявленное требование соответствующим статье 39 Федерального закона от 10.01.2003 № 18-ФЗ «Устав железнодорожного транспорта Российской Федерации». Довод о проставлении в накладных иного договорного срока доставки груза, не нарушенного простоем вагонов, опровергается исследованным судами содержанием накладных.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«Мурманский морской торговый 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