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24.05.2021, оставленным без изменения постановлением Седьмого арбитражного апелляционного суда от 16.07.2021 и постановлением Арбитражного суда Западно-Сибирского округа от 15.11.2021, в удовлетворении заявления отказано. В кассационной жалобе Пестрикова Н.Л. просит об отмене судебных актов, ссылаясь на неопределение управляющим актуальной стоимости имущества в целях реализации его конкретному покупателю.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цена реализации залогового имущества установлена залоговым кредитором и определена покупательским спросом и не связана с не соответствующими интересам должника и кредитора действиями финансового управляющего по организации торгов, поэтому отклонили возражения должника в соответствии со статьями 20.3, 213.9, 213.26 Федерального закона от 26.10.2002 № 127-ФЗ «О несостоятельности (банкротстве)» и статьями 447-449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Пестриковой Н.Л.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