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07.04.2021, оставленным без изменения постановлением Десятого арбитражного апелляционного суда от 11.08.2021 и постановлением Арбитражного суда Московского округа от 17.11.2021, в удовлетворении заявления отказано. В кассационной жалобе Сафонова А.Н. просит об отмене судебных актов, ссылаясь на нарушение правил доказывания и оценки доказательств при установлении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проверили обстоятельства совершения сделки применительно к заявленным основаниям недействительности и в том числе учитывали обстоятельства, установленные судом общей юрисдикции по спору об исполнении сделки и арбитражным судом по заявлению о включении в реестр основанного на сделке требования. Доводы о мнимости сделки, взаимосвязанности должника с кредитором рассмотрены и опровергнуты судами. Судебные акты соответствуют статьям 16, 69 Арбитражного процессуального кодекса Российской Федерации и статьям 10, 168, 170 Гражданского кодекса Российской Федерации. Правила доказывания и оценки доказательств, на несоответствие которым судебных актов ссылается управляющий, не попадают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Сафоновой 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