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21.05.2021, оставленным без изменения постановлением Тринадцатого арбитражного апелляционного суда от 05.08.2021 и постановлением Арбитражного суда Северо-Западного округа от 17.11.2021, иск удовлетворен.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завод (заказчик) во исполнение условий договора от 17.09.2019 № ОИС2019-З перечислил обществу (исполнитель) денежные средства в размере 2 000 000 руб.; договор прекратил свое действие в связи с односторонним отказом завода по причине нарушения обществом срока окончания работ; общество до расторжения договора оказало услуги на общую сумму 992 600 руб. и не представило надлежащих доказательств их оказания в полном объеме, как и доказательств возврата спорной суммы, руководствуясь статьями 309, 310, 453, 702, 708, 715, 1102 Гражданского кодекса Российской Федерации, разъяснениями, изложенными в постановлении Пленума Высшего Арбитражного Суда Российской Федерации от 06.06.2014 № 35 «О последствиях расторжения договора», суды первой и апелляционной инстанций пришли к выводу о наличии оснований для удовлетворения иска. Суд округа поддержал выводы судов первой и апелляционной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«КОДЕЛЬФ Солюшнс»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