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пунктом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Такое ходатайство заявителем представлено до рассмотрения ранее поданной им кассационной жалобы. В силу статей 9 и 41 Арбитражного процессуального кодекса Российской Федерации участвующие в деле лица самостоятельно распоряжаются своими процессуальными правами. Оснований для ограничения права заявителя на отказ от своей кассационной жалобы не установлено, в связи с чем ходатайство об отзыве жалобы подлежит удовлетворению, а данная жалоба – возвращению без рассмотрения по существу. 2 Руководствуясь статьями 184, 185, пунктом 4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конкурсного управляющего обществом с ограниченной ответственностью «Байр-Строй» Андреева Дмитрия Валерьевича удовлетворить. Возвратить конкурсному управляющему обществом с ограниченной ответственностью «Байр-Строй» Андрееву Дмитрию Валерьевичу кассационную жалобу на определение Арбитражного суда Новосибирской области от 18.04.2021, постановление Седьмого арбитражного апелляционного суда от 26.07.2021 и постановление Арбитражного суда Западно-Сибирского от 01.12.2021 округа по делу № А45-10429/2019 без рассмотрения по существу.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