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«Планар-Светотехника» (в настоящее время - общество с ограниченной ответственностью «Лед-Би-Ай»; далее - компания) обратилось в Арбитражный суд города Санкт-Петербурга и Ленинградской области с иском к обществу с ограниченной ответственностью «ЕМС» (далее - общество) о взыскании 2 377 833 руб. задолженности по оплате изготовленного и поставленного товара, 101 628 руб. процентов за пользование чужими денежными средствами за период с 19.12.2018 по 08.07.2019. Общество предъявило встречный иск к компании о признании договора поставки мнимой сделкой. К участию в деле в качестве третьего лица, не заявляющего самостоятельных требований относительно предмета спора, привлечен Явтушенко Игорь Владимирович. Решением Арбитражного суда города Санкт-Петербурга и Ленинградской области от 09.10.2020 первоначальные исковые требования оставлены без удовлетворения, встречные исковые требования удовлетворены. 2 Тринадцатый арбитражный апелляционный суд определением от 18.02.2021 перешел к рассмотрению дела по правилам для суда первой инстанции и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«Электромонтаж-Сервис». Постановлением Тринадцатого арбитражного апелляционного суда от 23.08.2021 решение суда первой инстанции отменено, принят новый судебный акт, которым первоначальные исковые требования удовлетворены частично, с общества в пользу компании взыскано 2 377 833 руб. задолженности, в удовлетворении остальной части первоначальных требований и в удовлетворении встречного иска отказано. Постановлением Арбитражного суда Северо-Западного округа от 15.11.2021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Тринадцатый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 факт выполнения компанией обязательств по поставке товара, заключения договора с намерением реально выполнить поставку и его исполнения сторонами. При названных обстоятельствах, руководствуясь статьями 166, 168, 170, 309, 310, 486, 506 Гражданского кодекса Российской Федерации, суд пришел к выводу о наличии на стороне общества обязанности по оплате поставленного товара, отклонив его требование о признании договора мнимой сделкой. Суд округа поддержал выводы суда апелляционной инстанции. Доводы заявителя, изложенные в кассационной жалобе, являлись предметом рассмотрения судов апелляционной инстанции и округа, не подтверждают существенных нарушений ими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3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«СтройИнвестПроект»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