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14.05.2021, оставленным без изменения постановлением Второго арбитражного апелляционного суда от 03.08.2021 и постановлением Арбитражного суда Волго-Вятского округа от 03.12.2021,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(подрядчик) мотивированы ненадлежащим исполнением компанией (заказчик) обязательств по оплате работ, выполненных по договору подряда от 19.02.2020 № ВU/IS-20/04fl00161/20.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711, 720, 721, 753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установленных обстоятельств того, что обусловленный договором результат работ не достигнут, предъявленные к оплате работы подрядчиком не выполнены.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«Бухен Индастриал Сервисез»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