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09.03.2021, оставленным без изменения постановлением Тринадцатого арбитражного апелляционного суда от 17.06.2021 и постановлением Арбитражного суда Северо-Западного округа от 25.10.2021, с компании в пользу общества взыскано 26 685 руб. 17 коп. задолженности, 17 692 руб. 16 коп. неустойки, в удовлетворении остальной части требований отказано. 2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309, 310, 702, 711, 746, 753 Гражданского кодекса Российской Федерации, суды первой и апелляционной инстанций отказали в удовлетворении исковых требований общества, основанных на актах 24.12.2018 № 313, от 29.01.2019 № 17, констатировав, что обществом не подтверждено фактическое выполнение спорных работ.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«СтройИнвестПроект»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