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02.06.2021, оставленным без изменения постановлением Одиннадцатого арбитражного апелляционного суда от 04.08.2021 и постановлением Арбитражного суда Поволжского округа от 23.11.2021, иск удовлетворен. В кассационной жалобе, поданной в Верховный Суд Российской Федерации, предприниматель, ссылаясь на незаконность указанных судебных актов, просит их отменить и направить дело на новое рассмотрение в Арбитражный суд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судебным актом по делу № А65-8157/2020, руководствуясь статьями 15, 393, 993, 1005, 1011 Гражданского кодекса Российской Федерации, исходили из доказанности истцом наличия совокупности условий, необходимых для взыскания с ответчика убытков.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Приведенные в кассационной жалобе доводы аналогичны доводам, ранее заявлявшимся в судах и получившим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Юнусова Ленара Нурисовича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