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06.05.2021, оставленным без изменения постановлением Седьмого арбитражного апелляционного суда от 30.08.2021 и постановлением Арбитражного суда Западно-Сибирского округа от 17.11.2021,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руководствовались положениями статей 10, 166, 167, 168, 382 Гражданского кодекса Российской Федерации и с учетом результатов проверки заявления о фальсификации оспариваемого договора уступки пришли к выводу о его недействительности.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«Правозащита»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