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19.03.2021, оставленным без изменения постановлением Девятого арбитражного апелляционного суда от 17.06.2021 и постановлением Арбитражного суда Московского округа от 17.11.2021, иск удовлетворен. В кассационной жалобе компания просит об отмене судебных актов, ссылаясь на полное исполнение обязанности по перечислению полученных от пассажиров денежных средств, отсутствие ответственности за работу программного обеспечения контрольно-кассовой техники, недоказанность пользования оплаченной услугой.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соответствуют установленным обстоятельствам исполнения договора от 12.08.2016 № 2042322, условиям договора и статьям 1005, 1008 Гражданского кодекса Российской Федерации. Требуемая переоценка исполнения обязательств не отвечает критериям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