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«Стандарт ПМ» (далее – Общество) обратилось в Арбитражный суд Пермского края с иском, уточненным в порядке статьи 49 Арбитражного процессуального кодекса Российской Федерации (далее – АПК РФ), к товариществу собственников жилья «Целинная 47» (далее – Товарищество) о взыскании 212 398 рублей 45 копеек неосновательного обогащения и 15 594 рубля 99 копеек процентов за пользование чужими денежными средствами, с дальнейшим их начислением с 01.07.2021 по день фактического исполнения обязательства. Решением Арбитражного суда Пермского края от 12.07.2021, оставленным без изменения постановлением Семнадцатого арбитражного апелляционного суда от 15.09.2021 и постановлением Арбитражного суда Уральского округа от 14.12.2021,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на дату выставления платежных документов (ноябрь-декабрь 2019 года) Общество осуществляло управление спорным многоквартирным домом (далее – МКД).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общим собранием собственников помещений в названном МКД принято решения о создании Товарищества, избрании его в качестве управляющей организации, расторжении договора управления с Обществом (протокол от 02.10.2019); Товарищество зарегистрировано в качестве юридического лица 09.10.2019. Ответчик уведомил истца об избрании его в качестве управляющей организации и расторжении договора управления письмом от 10.10.2019, указав на необходимость прекращения управления МКД с 01.11.2019. Письмом от 11.10.2019 Товарищество направило документы о смене способа управления МКД в ИГЖН по Пермскому краю. Спорный МКД из реестра лицензий управляющей организации Общества исключен 01.01.2020. В обоснование требований Общество указало, что в период ноябрь-декабрь 2019 являлось исполнителем коммунальных услуг в отношении МКД, расположенного по адресу: г. Пермь, улица Целинная, 47; до 01.01.2020 истец являлся управляющей организацией указанного МКД. Ссылаясь на незаконность сбора Товариществом в спорный период денежные средства за услуги,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заключение, составленное по результатам проведенной судебной экспертизы, руководствуясь статьями 209, 290, 1102 Гражданского кодекса Российской Федерации, статьями 44, 154, 158, 161, 162 Жилищного кодекса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года № 354, суды отказали в удовлетворении требований, установив, что в спорный период управление МКД, а также предоставление услуг осуществляло Товарищество, в связи с чем правомерно взимало соответствующую плату. Доводы кассационной жалобы, которые были предметом рассмотрения судебных инстанций и получили надлежащую правовую оценку, не 3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«Стандарт ПМ»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