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21.04.2021 завершена процедура реализации имущества гражданина Круглова Михаила Владимировича; к должнику не применено правило об освобождении от исполнения обязательств перед кредиторами. Постановлением Второго арбитражного апелляционного суда от 02.08.2021 определение суда первой инстанции оставлено без изменения. Арбитражный суд Волго-Вятского округа постановлением от 30.11.2021 указанные судебные акты оставил без изменения. Круглов Михаил Владимирович обратился в Судебную коллегию Верховного Суда Российской Федерации с кассационной жалобой на принятые судебные акты в части неприменения к нему правила об освобождении от дальнейшего исполнения требований,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Круглову Михаилу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