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Самарской области от 17.05.2021, оставленным без изменения постановлением Одиннадцатого арбитражного апелляционного суда от 19.08.2021 и постановлением Арбитражного суда Поволжского округа от 16.11.2021, в удовлетворении заявления отказано. В кассационной жалобе банк просит об отмене судебных актов, ссылаясь на получение должником эффекта от сделки посредством зачисления денежных средств на его счет.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кредитный договор, на котором основано заявленное к включению в реестр требование, прикрывал погашение межбанковского кредита, а не предполагал использования денежных средств, транзитом прошедших через счет должника, для его потребительских нужд. В целях включения требования в реестр такие обстоятельства предоставления денежных средств не отвечают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Судебная практика установления требований контролирующих и аффилированных лиц, на которую ссылается банк, к банкротству граждан не применима.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коммерческий банк «ГАЗБАНК»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