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Краснодарского края от 28.06.2021, оставленным без изменения постановлением Пятнадцатого арбитражного апелляционного суда от 18.08.2021 и постановлением Арбитражного суда Северо-Кавказского округа от 18.11.2021, в удовлетворении иска отказано. В кассационной жалобе общество «Рутенд Групп» просит об отмене судебных актов, ссылаясь на неисследование соответствия договору обстоятельств оказания услуг.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обстоятельства исполнения сторонами договора от 09.08.2019 № 218/198 на оказание услуг в целях участия в государственных, муниципальных и коммерческих закупках на территории России и руководствуясь статьями 779, 781 Гражданского кодекса Российской Федерации, суды признали отсутствие оснований для взыскания вознаграждения из-за ненадлежащего оказания истцом (исполнителем) услуг. Приведенные в рассматриваемой жалобе доводы направлены на ревизию оценки доказательств и выводов судов, которая не составляет обозначенных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«Рутенд 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