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25.06.2021 признана недействительной сделка по списанию со счета должника и перечислению публичному акционерному обществу «Банк ВТБ» денежных средств, 14 000 000 рублей взысканы в конкурсную массу должника. Пятнадцатый арбитражный апелляционный суд, рассмотрев обособленный спор по правилам для суда первой инстанции, постановлением от 06.09.2021 отменил определение от 25.06.2021 и в удовлетворении заявления отказал. Арбитражный суд Северо-Кавказского округа постановлением от 21.11.2021 постановление суда апелляционной инстанции от 06.09.2021 оставил без изменения. В кассационной жалобе Уланова Н.А. просит об отмене судебных актов апелляционного и окружного судов, ссылаясь на наличие условий для признания платежей недействительными и неправильное исчисление срока исковой давности.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Сделка оспаривалась и проверена на соответствие законодательству о банкротстве, условий для недействительности в силу общих норм гражданского законодательства (статьям 10, 168, 170 Гражданского кодекса Российской Федерации) не установлено. Срок исковой давности исчислен для кредитора с момента вступления в дело о банкротстве, позволяющего узнать о наличии сделок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Улановой Н.А.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