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10.02.2021, оставленным без изменения постановлением Тринадцатого арбитражного апелляционного суда от 30.06.2021 и постановлением Арбитражного суда Северо-Западного округа от 02.11.2021, иск удовлетворен. В кассационной жалобе общество «Жилкомсервис № 2 Московского района» просит об отмене судебных актов, ссылаясь на неполное выяснение обстоятельств оказания услуг.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Судебные акты основаны на исследованных обстоятельствах оказания услуг и примененных к ним договоре от 15.04.2019 № 02/01/2019 и статьях 779, 781, 395 Гражданского кодекса Российской Федерации. Вопросы оценки доказательств, на которых построены доводы жалобы, не создают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«Жилкомсервис № 2 Московского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