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ФИО3 (далее – должник) его финансовый управляющий обратился в суд с заявлением о признании недействительной сделки – договора купли-продажи квартиры, находящейся по адресу: &lt;...&gt;, заключенного между ФИО3 и ФИО2, и применении последствий ее недействительности. Определением суда первой инстанции от 21.08.2018 требования удовлетворены, сделка признана недействительной, применены последствия ее недействительности в виде восстановления права собственности ФИО3 на квартиру, находящуюся по адресу: &lt;...&gt;. Постановлением апелляционного суда от 26.11.2018, оставленным в силе судом округа, определение суда первой инстанции от 21.08.2018 изменено в части применения последствий недействительности сделки: восстановлено право собственности ФИО3 на квартиру, находящуюся по адресу: &lt;...&gt;, и восстановлено право требования ФИО2 к ФИО3 задолженности в сумме 2 000 000 руб. В кассационной жалобе, поданной в Верховный Суд Российской Федерации, Мандрыгин С.Б. указывает на нарушения в толковании и применении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отсутствуют. Разрешая спор и удовлетворяя заявленные требования, суды руководствовались положениями пункта 2 статьи 61.2 Федерального закона от 26.10.2002 № 127-ФЗ «О несостоятельности (банкротстве)» с учетом разъяснений, изложенных в пунктах 5, 6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и, исходя из установленных фактических обстоятельств, пришли к выводу о правомерности требования финансового управляющего в связи с подтверждением им совокупности условий (причинение вреда имущественным интересам кредиторов должника ввиду фактической безвозмездности сделки и вывода имущества из конкурсной массы в пользу заинтересованного лица в период подозрительности при признаках неплатежеспособности должника, цель причинения вреда и осведомленность контрагента об указанной цели), необходимых для квалификации оспариваемой сделки в качестве подозрительной и признания ее недействительной. Основания не согласиться с названным выводом отсутствуют. Возражения заявителя, изложенные им в настоящей кассационной жалобе, являлись предметом рассмотрения нижестоящих судов и получили надлежащую правовую оценку.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представлено. Руководствуясь статьями 291.6 , 291.8 АПК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АО "Связной Банк" (подробнее) АО СВЯЗНОЙ БАНК (подробнее) ПАО Банк ВТБ (подробнее) ПАО "Сбербанк России" Челябинское отделение №8597 (подробнее) Иные лица: НП СРО АУ "Развитие" (подробнее) СРО АУ " Развитие"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