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17.05.2021, оставленным без изменения постановлением Девятого арбитражного апелляционного суда от 26.07.2021 и постановлением Арбитражного суда Московского округа от 06.12.2021, первоначальный иск удовлетворен, в удовлетворении встречного иска отказано. В кассационных жалобах завод и Орловская Е.В. просят об отмене судебных актов в части удовлетворения первоначального иска, ссылаясь на игнорирование отказа от договора и внедоговорного характера требований.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установили, что отказ от договора имел место после оказания услуги, подлежащей оплате исходя из реального характера обязательства по факту принятия в силу статей 779, 781 Гражданского кодекса Российской Федерации. Вопросы доказывания и оценки доказательств, на которых основаны доводы жалоб,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«Чебоксарский завод силовых агрегатов» и Орловской Елене Владимировне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