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15.04.2021, оставленным без изменения постановлением Третьего арбитражного апелляционного суда от 16.08.2021 и постановлением Арбитражного суда Восточно-Сибирского округа от 07.12.2021, в удовлетворении первоначального иска отказано, встречный иск удовлетворен. В кассационной жалобе предприниматель просит об отмене судебных актов, ссылаясь на наличие доказательств реального использования ответчиком арендуемого имущества и несения расходов на его содержание.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заявителя о реальном использовании имущества и несении расходов на его содержание опровергаются установленными судами обстоятельствами, требуемое в жалобе изменение оценки которых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Мудрецову О.Ю. в передаче заявления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