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06.05.2021, оставленным без изменения постановлением Девятого арбитражного апелляционного суда от 29.07.2021 и постановлением Арбитражного суда Московского округа от 24.11.2021, в иске отказано. В кассационной жалобе общество просит об отмене судебных актов как не соответствующих обстоятельствам дела и представленным доказательствам.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неподписание ответчиком договора, на котором основаны требования о взыскании задолженности и неустойки, признав его ненадлежащим доказательством. Представленный ответчиком экземпляр договора, подписанный обеими сторонами, признан действующим и исходя из представленных доказательств исполненным, что не позволяет взыскать спорную сумму в качестве неосновательного обогащения. Приведенные в рассматриваемой жалобе доводы направлены на изменение оценки доказательств, на которой основаны вводы судов, не составляющего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«Радикал-Инвест»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