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04.03.2021 исковые требования удовлетворены в части взыскания 46 970 414 рублей 26 копеек долга и 4 697 041 рубля 43 копеек неустойки. Постановлением Девятого арбитражного апелляционного суда от 29.07.2021, оставленным без изменения постановлением Арбитражного суда Московского округа от 22.11.2021, решение от 04.03.2021 изменено: в иске полностью отказано. В кассационной жалобе общество просит об отмене судебных актов, ссылаясь на неверное толкование договора и ненадлежащую оценку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Поддержав выводы суда первой инстанции о недоказанности требуемых в иске убытков, апелляционный суд также не признал за истцом возникновения права на получение оплаты по договору от 30.06.2017 № 1862795, проанализировав содержание этого договора на соответствие статье 429.4 Гражданского кодекса Российской Федерации по правилу статьи 431 Кодекса. Следующая из статьи 431 Гражданского кодекса Российской Федерации компетенция суда на толкование договора не подлежит пересмотру в порядке кассационного производства, как и вопросы доказывания и оценки доказательств, на которых основаны доводы жалобы.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«СИГМА Технотрон»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"СИГМА ТЕХНОТРОН" (подробнее) Ответчики: ПАО "Сбербанк России"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