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21.06.2018 иск удовлетворен. Определением Арбитражного суда города Москвы от 24.08.2021, оставленным без изменения постановлением Девятого арбитражного апелляционного суда от 10.11.2021 и постановлением Арбитражного суда Московского округа от 27.12.2021, производство по заявлению Филатова С.В. о пересмотре решения от 21.06.2018 по вновь открывшимся обстоятельствам прекращено. В кассационной жалобе Филатов С.В. просит отменить судебные акты, ссылаясь на переход к нему прав на предмет лизинга в связи с уплатой всех платежей по договору.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2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заявитель не является участвующим в деле лицом, заключил договор уступки с ответчиком после принятия решения от 21.06.2018 и в порядке процессуального правопреемства до прекращения ответчика в качестве юридического лица в дело не вступал, поэтому правомерно признали отсутствие у заявителя права на подачу заявления о пересмотре решения по вновь открывшимся обстоятельствам. Наличие у заявителя заинтересованности в исходе дела не наделяет его правом на обращение с заявлением о пересмотре судебного акта по вновь открывшимся обстоятельствам.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Филатову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