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20.05.2021, оставленным без изменения постановлением Девятого арбитражного апелляционного суда от 04.08.2021, в иске отказано. 2 Постановлением Арбитражного суда Московского округа от 15.12.2021 указанные судебные акты оставлены без изменения. Рособрнадзор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309, 310, 715, 782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доказанным факт выполнения работ и передачи результата работ заказчику в отсутствие мотивированного отказа. Доводы жалобы были предметом исследования судов и получили исчерпывающую правовую оценку в обжалуемых судебных актах с учетом установленных обстоятельств, свидетельствующих о неосуществлении заказчиком действий по приемке результата работ в установленном порядке,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