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его требований в размере 2 000 000 рублей в реестр требований кредиторов должника.. Определением Арбитражного суда Республики Крым от 21.05.2021, оставленным без изменения постановлениями Двадцать первого арбитражного апелляционного суда от 02.09.2021 и Арбитражного суда Центрального округа от 26.11.2021, отказано в удовлетворении заявления.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без изменения определение суда первой инстанции, суды апелляционной инстанции и округа, руководствуясь положениями статей 16, 61.6, 71 и 100 Федерального закона от 26.10.2002 № 127-ФЗ «О несостоятельности (банкротстве)», поддержали вывод суда об отсутствия оснований для удовлетворения требований по заявленным основаниям.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«МТМ»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