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Шван Александр Густавович обратился в суд с заявлением о замене общества с ограниченной ответственностью «АСТ БАУГЕЗЕЛЛЬШАФТ» (далее – общество) в реестре требований кредиторов должника на правопреемника Швана А.Г. Определением Арбитражного суда города Москвы от 31.05.2021 заявление удовлетворено. Постановлением Девятого арбитражного апелляционного суда от 02.09.2021 отменено определение суда первой инстанции от 31.01.2021, отказано в удовлетворении заявления. Постановлением Арбитражного суда Московского округа от 23.11.2021 отменено постановление апелляционного суда от 02.09.2021, оставлено в силе определение суда первой инстанции от 31.05.2021. В кассационной жалобе, поданной в Верховный Суд Российской Федерации, заявитель просит отменить указанное постановление суда округа, оставить в силе постановление апелляционного суда или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статьи 48 Арбитражного процессуального кодекса Российской Федерации, обоснованно поддержал выводы суда первой инстанции об отсутствии оснований для отказа в удовлетворении заявления о процессуальном правопреемстве.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Доводы заявителя о заинтересованности должника и общества были предметом рассмотрения суда округа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«Рентал»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