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Камчатского края от 19.05.2021, оставленным без изменения постановлением Пятого арбитражного апелляционного суда от 24.08.2021 и постановлением Арбитражного суда Дальневосточного округа от 12.11.2021, исковое заявление удовлетворено.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16.10.2019 обществом (подрядчик) и учреждением (заказчик) заключен муниципальный контракт № 0138300000119000375 на выполнение работ по капитальному ремонту фасада здания с установкой вентилируемого фасада с утеплением наружных стен административного здания. В ходе выполнения работ подрядчиком выявлены несоответствия (ошибки) в проектно-сметной документации, которая получила положительное заключение Государственной экспертизы от 02.09.2019 № 41-1-0259-19. Ввиду невозможности исполнения условий контракта подрядчиком предложено заказчику согласовать дополнительный объем работ, срок их выполнения, а также устранить ошибки проекта. Отказ заказчика в изменении условий договора послужил основанием для принятия обществом решения о приостановлении работ от 03.02.2020 № 14-ф, что послужило основанием для принятия заказчиком решения об одностороннем отказе от исполнения контракта в связи с существенным нарушением подрядчиком сроков исполнения обязательств. Считая односторонний отказ необоснованным, общество обратилось к учреждению с претензией об отмене принятого решения, расторжении контракта по соглашению сторон с компенсацией фактически понесенных расходов. Отказ учреждения в удовлетворении претензионных требований послужил основанием для обращения общества в арбитражный суд. Исследовав и оценив представленные в материалы дела доказательства, в том числе результаты проведенной по делу технической экспертизы, суды первой и апелляционной инстанций,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 наличии оснований для удовлетворения искового требования, с чем согласился суд округа. Судебные инстанции исходили из доказанности обществом обстоятельств того, что нарушение сроков выполнения работ по контракту обусловлено недостатками проектной документации, то есть независящими от него обстоятельствами. 3 Так, в ходе выполнения работ по контракту выявлены несоответствия проектной документации, не предусмотрена расценка по применению строительных лесов, о чем заказчик неоднократно уведомлялся, необходимость применения которых подтверждена заключением экспертизы. Суды отметили, что подрядчик действовал добросовестно и принял все меры для надлежащего исполнения обязательств, вины подрядчика в нарушении сроков выполнения работ не имеется, в связи с чем у заказчика отсутствовали основания для одностороннего отказа от исполнения контракта.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«Единая дежурно-диспетчерская служба Елизовского муниципального района»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