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23.06.2021, оставленным без изменения постановлением Четырнадцатого арбитражного апелляционного суда от 20.09.2021 и постановлением Арбитражного суда Северо-Западного округа от 09.12.2021, исковое требование удовлетворено. В кассационной жалобе, поданной в Верховный Суд Российской Федерации, управление просит отменить судебные акты,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(хранитель) и управлением (поклажедатель) 08.08.2016 заключен государственный контракт на оказание услуг по хранению арестованных и изъятых в рамках исполнительных производств легковых автотранспортных средств на территории города Череповца для нужд управления. На основании указанного контракта транспортное средство, арестованное и изъятое в рамках возбужденных в отношении должника исполнительных производств, передано управлением обществу для ответственного хранения и помещено на принадлежащую хранителю специализированную стоянку. Транспортное средство находилось на стоянке с 24.03.2016 по 15.12.2017 включительно, что подтверждается журналом учета транспортных средств и управлением не оспаривается. Плата за ответственное хранение автомобиля на специализированной стоянке за период с 01.01.2017 по 15.12.2017 произведена не была, сумма задолженности за данную услугу составила 17 450 рублей (349 дней *50 рублей в сутки). Претензия о погашении задолженности оставлена управлением без удовлетворения, что послужило основанием для обращения общества с настоящим иском в арбитражный суд. Удовлетворяя исковое требование, суды трех инстанций, оценив представленные в материалы дела доказательства, руководствуясь положениями статей 309, 310, 886, 889, 896 Гражданского кодекса Российской Федерации, пришли к выводу о наличии оснований для оплаты хранения транспортного средства за счет бюджетных средств. Судебные инстанции исходили из доказанности обществом оказания услуг по хранению и возврату вверенной ему вещи по требованию поклажедателя, их стоимости и невозможности оплаты за счет средств должника. Вместе с тем суды указали на соответствие понесенных истцом судебных расходов на представителя критерию разумности. 3 В кассационной жалобе управление, не оспаривая факта и стоимости оказания услуг, ссылается на отсутствие оснований для оплаты хранения за счет средств федерального бюджета, а также на несоразмерность заявленных обществом судебных расходов. Приведенные доводы сводятся к повторению позиции управления по спору, были предметом рассмотрения судов и получили надлежащую правовую оценку с учетом установленных обстоятельств дела. Несогласие заявителя жалобы с выводами судов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