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«СпецСтройАльянс» обратилось в Арбитражный суд Белгородской области с иском о взыскании с общества с ограниченной ответственностью «АМЗ-Техноген» 1 930 500 рублей задолженности по договору № 16/20 от 16.01.2020. Решением Арбитражного суда Белгородской области от 18.06.2021 в удовлетворении иска отказано. Постановлением Девятнадцатого арбитражного апелляционного суда от 22.09.2021 решение суда первой инстанции оставлено без изменения. Арбитражный суд Центрального округа постановлением от 07.12.2021 указанные судебные акты отменил и направил дело на новое рассмотрение в Арбитражный суд Белгородской области. Общество с ограниченной ответственностью «АМЗ-Техноген»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определения правовой природы спорных правоотношений,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«АМЗ-Техноген»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"Спецстройальянс" (подробнее) Ответчики: ООО "АМЗ-ТЕХНОГЕН"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