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Алтайского края от 14.04.2021, оставленным без изменения постановлением Седьмого арбитражного апелляционного суда от 05.07.2021 и постановлением Арбитражного суда Западно-Сибирского округа от 15.11.2021, исковые требования удовлетворены. В кассационной жалобе, поданной в Верховный Суд Российской Федерации, общество просит отменить указанные судебные акты и направить дело на новое рассмотрение, ссылаясь на неполное исследование судами обстоятельств спора.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поставки компанией (продавец) некачественного товара (теплосчетчиков), недостатки которого проявились до истечения срока службы приборов и имели существенный характер, признав правомерным отказ предпринимателя (покупатель) от договора, руководствуясь статьями 309, 310, 432, 454, 455, 475 Гражданского кодекса Российской Федерации, суды первой и апелляционной инстанций пришли к выводу о наличии оснований для взыскания с компании в пользу предпринимателя стоимости поставленного товара и расходов, связанных с необходимостью демонтажа и заменой неисправных теплосчетчиков. Суд округа поддержал выводы судов первой и апелляционной инстанций.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«Декаст»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