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Красноярского края от 22.12.2020, оставленным без изменения постановлением Третьего арбитражного апелляционного суда от 08.04.2021 и постановлением Арбитражного суда Восточно-Сибирского округа от 25.10.2021, в удовлетворении первоначальных 2 исковых требований отказано. Встречные исковые требования удовлетворены частично, с общества в пользу компании взыскано 1 360 000 руб. предоплаты, перечисленной в счет работ по договору подряда от 05.09.2017 № 2-П/2018, 9520 руб. неустойки, начисленной за период с 14.10.2017 по 20.10.2017, 27 076 руб. судебных расходов по оплате государственной пошлины, 150 000 руб. судебных расходов по оплате экспертизы, в остальной части требований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в части отказа в удовлетворении первоначального иска, удовлетворения встречных требований и принять по делу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Как следует из обжалуемых судебных актов, исковые требования общества (подрядчик) мотивированы ненадлежащим исполнением компанией (заказчик) обязательств по оплате работ, выполненных по договору от 05.09.2017 № 2-П/2018 на проведение комплекса работ по бурению гидрогеологической скважины № 1Г-СТС Усть-Кутского района. В обоснование встречного иска компания сослалась на некачественное выполнение работ и отсутствие у них потребительской ценности. Исследовав и оценив по правилам статьи 71 Арбитражного процессуального кодекса Российской Федерации представленные в материалы дела доказательства, суды первой и апелляционной инстанций установили, что компания произвела авансирование по договору на сумму 1 360 000 руб., согласно заключению судебной экспертизы работы выполнены обществом некачественно. Учитывая, что доказательств, подтверждающих наличие потребительской ценности результата работ, не представлено, а общество, приступая к выполнению первого этапа работ, знало об отсутствии у компании лицензии на право пользования недрами, однако на свой риск продолжило выполнять работы по договору, руководствуясь статьями 309, 310, 329, 330, 333, 702, 708, 711, 719, 720, 721, 753, 758, 1102 Гражданского кодекса Российской Федерации, суды пришли к выводу об отсутствии оснований для удержания обществом полученных денежных средств, частично удовлетворив встречные исковые требования и отказав в удовлетворении первоначального иска. 3 Суд округа поддержал выводы судов первой и апелляционной инстанций. Приведенные в кассационной жалобе доводы не опровергают выводы судов,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«Акваресурс»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