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Пермского края от 19.05.2021, оставленным без изменения постановлением Семнадцатого арбитражного апелляционного суда от 29.07.2021 и постановлением Арбитражного суда Уральского округа от 25.11.2021, в удовлетворении исковых требований отказано. В кассационной жалобе, поданной в Верховный Суд Российской Федерации, компания,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Арбитражный суд Пермского края.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Таких оснований по результатам изучения состоявшихся по делу судебных актов и доводов кассационной жалобы не установлено. Разрешая спор и отказывая в удовлетворении исковых требований, суды первой и апелляционной инстанций, с которыми впоследствии согласился суд округа, руководствовались статьями 196 , 200 , 309 , 310 , 702 , 711 , 783 , 1102 Гражданского кодекса Российской Федерации и исходили из недоказанности истцом наличия на стороне ответчика неосновательного обогащения, а также пропуска им срока исковой давности, о чем было заявлено ответчиком. Выводы судов подробно мотивированы в обжалуемых судебных актах, основаны на представленных в материалы дела доказательствах и установленных на их основании фактических обстоятельствах. Приведенные в кассационной жалобе доводы аналогичны доводам, ранее заявлявшимся в судах и получившим правовую оценку, не опровергают выводы судов, не подтверждают существенных нарушений судами норм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Учитывая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Чантвэй Трейдинг Лимитед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Ответчики: АО "ОДК-Пермские моторы" (подробнее) Судьи дела: Чучунова Н.С.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 По договору подряда Судебная практика по применению норм ст. 702, 703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