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16.03.2021, оставленным без изменения постановлением Девятого арбитражного апелляционного суда от 12.07.2021 и постановлением Арбитражного суда Московского округа от 02.11.2021, с компании в пользу общества взыскано 334 619 руб. задолженности по договору от 27.11.2019 № ПКР-003627-19/СУБ, 8083 руб. расходов по уплате государственной пошлины,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в части отказа в удовлетворении исковых требований и направить дело в данной части на новое рассмотрение в арбитражный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представленная обществом в рамках договора от 27.11.2019 № ПКР-003626-19/СУБ проектная документация получила отрицательное заключение экспертизы, о чем компания известила общество, а впоследствии направила в его адрес уведомление о расторжении данного договора в одностороннем порядке в связи с неисполнением договорных обязательств и заключила договор на выполнение аналогичных работ с иным лицом – обществом с ограниченной ответственностью «Партнер», результат выполненных названным лицом работ получил положительное заключение экспертизы и оплачен компанией в полном объеме. Указав, что обществом не были выполнены и сданы компании работы по спорному договору, руководствуясь статьями 309 , 310 Гражданского кодекса Российской Федерации, суды пришли к выводу об отсутствии оснований для удовлетворения исковых требований в части взыскания задолженности по данному договору. Исходя из отсутствия доказательств исполнения обществом встречного обязательства по направлению компании счетов и счетов-фактур в соответствии с условиями договора, сославшись на положения статей 328 , 330 Гражданского кодекса Российской Федерации, суды признали не подлежащими удовлетворению требования общества о взыскании неустойки.Суд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«Инженерпроект»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"Инженерпроект" (подробнее) Ответчики: ООО "ПАРАЛЕЛЬ"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