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28.02.2022 (согласно отметке почтового органа на конверте) обратились в Верховный Суд Российской Федерации с жалобой на определение судьи Верховного Суда Российской Федерации от 18.02.2022 № 305-ЭС21- 28961, решение Арбитражного суда города Москвы от 25.05.2021, постановление Девятого арбитражного апелляционного суда от 20.07.2021 и постановление Арбитражного суда Московского округа от 26.10.2021 по делу № А40-158839/2020,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заявителями,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заявителям.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«Малтри» и общества с ограниченной ответственностью «Орто» о восстановлении пропущенного процессуального срока отказать. Жалобу возвратить заявителям. Судья Верховного Суда Российской Федерации Н.В. Павлова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