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01.06.2021, оставленным без изменения постановлением Седьмого арбитражного апелляционного суда от 13.08.2021, в удовлетворении иска отказано. Арбитражный суд Западно-Сибирского округа постановлением от 24.11.2021 отменил указанные судебные акты судов первой и апелляционной 2 инстанций и направил дело на новое рассмотрение в Арбитражный суд Томской области. Предприятие обратилось в Верховный Суд Российской Федерации с кассационной жалобой, в которой, обжалуя постановление суда округа и ссылаясь на нарушение норм материального и процессуального права, просит оставить в силе судебные акты судов первой и апелляционной инстанций.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судебного акта в кассационном порядке по доводам жалобы отсутствуют. На основании установленных судами первой и апелляционной инстанций фактических обстоятельств дела, связанных с возможностью взыскания с предприятия штрафа за неисполнение условий контракта на выполнение работ о привлечении субподрядчиков из числа субъектов малого предпринимательства и социально ориентированных некоммерческих организаций, суд округа пришел к выводу о том, что суды допустили расширительное толкование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условий контракта о субъектном составе лиц, привлекаемых к его исполнению, в связи с чем 3 имеющиеся в деле договоры поставки не могут свидетельствовать о соблюдении предусмотренного контрактом объема привлечения субподрядчиков. При этом судебными инстанциями не принят во внимание акт плановой камеральной проверки от 30.12.2020 № 79-18-25, выявивший нарушение предприятием спорного пункта контракта. В связи с необходимостью установления фактических обстоятельств спора, исследования доказательств, в том числе на предмет наличия оснований для снижения начисленной неустойки в связи с несоразмерностью, суд округа, действуя в пределах полномочий, установленных Арбитражным процессуальным кодексом Российской Федерации, отменил судебные акты судов нижестоящих инстанций и направил дело на новое рассмотрение в суд первой инстанции. Обжалуя судебный акт кассационной инстанции в Верховный Суд Российской Федерации, предприятие приводит доводы, которые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4 заседании Судебной коллегии по экономическим спорам Верховного Суда Российской Федерации. Поскольку оснований для передачи кассационной жалобы для рассмотрения в судебном заседании Судебной коллегии Верховного Суда Российской Федерации не установлено, заявленное ходатайство о приостановлении исполнения судебного акта суда округа на основании части 3 статьи 2916 Арбитражного процессуального кодекса Российской Федерации не подлежит удовлетворению.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