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акционерный коммерческий банк «Держава» (далее – банк) обратился в суд с заявлением о включении в реестр требований кредиторов должника (далее – реестр) его требования в размере 244 393 337 рублей 71 копейка. Определением Арбитражного суда города Москвы от 28.06.2021, оставленным без изменения постановлением Девятого арбитражного апелляционного суда от 09.09.2021, заявление удовлетворено в части включения в третью очередь реестра требования банка в размере 203 640 000 рублей. Во включении в реестр остальной части требований (процентов и расходов по оплате государственной пошлины) отказано. Постановлением Арбитражного суда Московского округа от 18.11.2021 данные судебные акты в части отказа во включении в реестр 40 753 337 рублей 71 копейки процентов за пользование чужими денежными средствами отменены, данное требование включено в реестр; производство по обособленному спору в отношении заявления о включении в реестр 200 000 рублей судебных расходов по уплате государственной пошлины прекращено. В остальной части принятые по обособленному спору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2 суда. Исходя из доводов кассационной жалобы, заявитель не согласен с обжалуемым судебным актом суда округа в части удовлетворения заявления банка о включении в реестр заявленной суммы процентов за пользование чужими денежными средствами. Жалоба изучена в пределах изложенных в ней доводов. Разрешая спор в обжалуемой части, суд округа, руководствуясь статьями 308, 377, 379, 421 Гражданского кодекса Российской Федерации, пришёл к выводу об обоснованности заявленного требования и наличия оснований для включения его в реестр.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конкурсному управляющему акционерным обществом «Неоплант» Борисову Валерию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