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Кравчук Анастасия Владиславовна обратилась в суд с заявлением о привлечении Семёнова Д.Н., Чагиной Т.Ю., Дуплинской Я.С., общества с ограниченной ответственностью «Эйр Инвест» к субсидиарной ответственности в размере 6 465 694 156 рублей 04 копейки. Определением Арбитражного суда города Москвы от 11.06.2021, оставленным без изменения постановлением Девятого арбитражного апелляционного суда от 12.08.2021, в удовлетворении заявления отказано. Постановлением Арбитражного суда Московского округа от 22.11.2021 данные судебные акты отменены, обособленный спор направлен на новое рассмотрение в Арбитражный суд города Москвы. В кассационных жалобах, поданных в Верховный Суд Российской Федерации, заявители просят отменить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судебные акты и направляя обособленный спор на новое рассмотрение, суд округа руководствовался статьями 61.11, 126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 исходил из того, что изложенные в них выводы сделаны при неполном выяснении имеющих существенное значение для дела обстоятельств, неполной оценке доказательств и приводимых сторонами доводов.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заявители не лишены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Чагиной Татьяне Юрьевне, Семёнову Дмитрию Николаевичу и Дуплинской Яне Сергеевне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