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Боровков Сергей Сергеевич обратился в суд с заявлением о признании незаконными действий (бездействия) арбитражного управляющего Кубасова М.А., выразившихся в несвоевременном оспаривании сделки; взыскании с него, арбитражных управляющих Косыгина Александра Сергеевича и Коровина Андрея Анатольевича убытков в размере 13 031 475 рублей 22 копейки. Определением Арбитражного суда Иркутской области от 04.09.2019, оставленным без изменения постановлением Четвёртого арбитражного апелляционного суда от 27.11.2019, жалоба удовлетворена в части признания ненадлежащими действий заявителя по несвоевременному оспариванию соглашения о прекращении взаимных обязательств зачётом от 10.04.2015 (далее – сделка), взыскании с него убытков в заявленном размере; в удовлетворении остальной части заявленных требований отказано. Постановлением Арбитражного суда Восточно-Сибирского округа от 19.02.2020 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Иркутской области от 30.03.2021, оставленным без изменения постановлениями Четвёртого арбитражного апелляционного суда от 09.08.2021 и Арбитражного суда Восточно-Сибирского округа от 20.12.2021, жалоба вновь удовлетворена в той же части требований – признаны ненадлежащими действия заявителя 2 по несвоевременному оспариванию сделки и взысканы убытки в заявленном размере, в остальной части требования оставлены без удовлетворения. В кассационной жалобе, поданной в Верховный Суд Российской Федерации, заявитель просит отменить принятые на новом рассмотрении судебные акты и принять по делу новый судебный акт об отказе в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15, 1064 Гражданского кодекса Российской Федерации, статьями 20.3, 20.4, 60, 129 Федерального закона от 26.10.2002 № 127-ФЗ «О несостоятельности (банкротстве)», исходили из того, что непринятие осведомлённым о заключении сделки заявителем мер по её оспариванию в пределах срока исковой давности привело к утрате возможности пополнения конкурсной массы, причинило убытки должнику и его кредиторам, в связи с чем признаны ненадлежащими действия заявителя по несвоевременному оспариванию сделки, взысканы убытки в заявленном размере. Отказывая в удовлетворении остальной части заявленных требований к последующим управляющим должником суды исходили из недоказанности факта передачи заявителем материалов и сведений по названной сделке внешнему управляющему Косыгину А.С. и конкурсному управляющему Коровину А.А.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Кубасову Михаилу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