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Абрамов Владимир Иванович обратился в суд с заявлением о признании недействительными сделками платежей, совершённых за должника третьим лицом – акционерным обществом «Гидромеханизация» в пользу публичного акционерного общества «Банк ВТБ» на общую сумму 3 315 692 рубля 32 копейки. Определением Арбитражного суда Челябинской области от 24.05.2021, оставленным без изменения постановлением Восемнадцатого арбитражного апелляционного суда от 06.09.2021, заявление удовлетворено. Постановлением Арбитражного суда Уральского округа от 01.11.2021 данные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положениями статьи 61.3 Федерального закона от 26.10.2002 № 127-ФЗ «О несостоятельности (банкротстве)», пунктом 13 постановления Пленума Высшего Арбитражного Суда Российской Федерации от 23.07.2009 № 63 «О текущих платежах по денежным обязательствам в деле о банкротстве», исходил из того, что погашение аффилированным лицом обязательств за должника не изменило очерёдности удовлетворения данного требования, то есть признака преференциальности не имелось, а интересы конкурсной массы не пострадали.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Алёшину Валерию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