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19.05.2021, оставленным без изменения постановлениями Шестого арбитражного апелляционного суда от 06.08.2021 и Арбитражного суда Дальневосточного округа от 27.10.2021, в удовлетворении заявления отказано. В кассационной жалобе общество ставит вопрос об отмене принятых по делу судебных актов, ссылаясь на существенное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камеральной налоговой проверки представленной обществом уточненной налоговой декларации за 4 квартал 2018 года по налогу на добавленную стоимость (далее – НДС) инспекцией вынесено оспариваемое решение, которым налогоплательщику доначислен НДС в размере 112 077 рублей, начислены соответствующие суммы пеней и штрафа. Основанием для принятия решения послужил вывод налогового органа о том, что налоговый вычет в размере 113 664 рублей необоснованно заявлен обществом в налоговой декларации за 4 квартал 2018 года в нарушение положений статьи 172 Налогового кодекса Российской Федерации (далееНалоговый кодекс). Решением управления от 05.03.2021 № 13-09/04262, вынесенным по результатам рассмотрения жалобы общества, решение налогового органа оставлено без изменения.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146 , 169 , 171 , 172 Налогового кодекса,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суды пришли к выводу об отсутствии оснований для удовлетворения заявленного требования. Судебные инстанции исходили из неправомерного применения налогоплательщиком налогового вычета по спорному счету-фактуре, поскольку право на применение налогового вычета заявлено по истечении трехлетнего срока, установленного пунктом 1.1 статьи 172 Налогового кодекса. При этом суды установили, что товары, приобретенные по данному счету-фактуре, не могли быть переданы налогоплательщику в спорный период ввиду прекращения деятельности контрагента. Доводы налогоплательщика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«Империя «АртСтэп»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"Империя "АРТСТЭП" (подробнее) Ответчики: Межрайонная инспекция Федеральной налоговой службы №8 по Хабаровскому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