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На основании изложенного, руководствуясь статьями 117 , 184 , 185 , 291.2 АПК РФ , судья определил: ходатайство общества с ограниченной ответственностью «АСНА» о восстановлении пропущенного срока подачи кассационной жалобы на решение Арбитражного суда города Москвы от 16.02.2021 по делу № А40-119543/2020, постановление Девятого арбитражного апелляционного суда от 29.06.2021 и постановление Арбитражного суда Московского округа от 13.10.2021 по тому же делу удовлетворить, срок восстановить. Судья Верховного Суда Борисова Е.Е. Российской Федерации Суд: Верховный Суд РФ (подробнее) Истцы: ООО "УК "Аптечные Традиции" (подробнее) Ответчики: ООО "АСНА"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