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22.04.2021, оставленным без изменения постановлением Четвертого арбитражного апелляционного суда от 19.08.2021 и постановлением Арбитражного суда Восточно-Сибирского округа от 15.11.2021, требование Зубовича А.В. в размере 7 635 874 рублей 20 копеек признано обоснованным и включено в третью очередь реестра. В кассационной жалобе Парфенов М.Г. просит об отмене судебных актов, ссылаясь на неисследованность доводов о безденежности займа и неприменении норм о неосновательном обогащении.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как подтвержденное надлежащими доказательствами и соответствующее критериям статей 71, 100, 213.8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Требуемая заявителем переоценка установленных обстоятельств предоставления займа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Парфенову Михаилу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