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обратился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«АВД» 2 200 000 рублей задолженности по договору от 11.03.2020 № 01АВД/20 оказания услуг строительной и иной техникой. Решением Арбитражного суда города Санкт-Петербурга и Ленинградской области от 08.03.2021 в удовлетворении иска отказано. Постановлением Тринадцатого арбитражного апелляционного суда от 07.06.2021 решение суда первой инстанции оставлено без изменения. Арбитражный суд Северо-Западного округа постановлением от 17.11.2021 указанные судебные акты оставил без изменения. Индивидуальный предприниматель ФИО1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фактически отработанное количество машино-часов и отсутствие первичных документов, руководствуясь положениями статей 309 , 310 , 431 , 611 , 614 , 632 Гражданского кодекса Российской Федерации, суды пришли к выводам о недоказанности факта оказания услуг на заявленную сумму и об отсутствии оснований для удовлетворения иска. Доводы, изложенные в кассационной жалобе, приводились при рассмотрении дела в судах, были рассмотрены судами и мотивированно отклонены.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ИП Линд Константин Юрьевич (подробнее) Ответчики: ООО "АВД"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