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жалобой на действия Харитонова В.Н., выразившихся в нарушении очерёдности погашения текущей задолженности уполномоченного органа за период с 13.01.2017 по 14.12.2017 в размере 1 892 298 рублей 04 копейки и за период с 29.12.2017 по 18.04.2018 в размере 270 218 рублей 89 копеек. Просил взыскать с Харитонова В.Н. в пользу уполномоченного органа убытки в размере 2 162 516 рублей 93 копейки. Определением Арбитражного суда Красноярского края от 02.06.2021, оставленным без изменения постановлениями Третьего арбитражного апелляционного суда от 05.08.2021 и Арбитражного суда Восточно-Сибирского округа от 11.11.2021,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 и 134 Федерального закона от 26.10.2002 № 127-ФЗ «О несостоятельности (банкротстве)», исходили из обоснованности жалобы уполномоченного органа ввиду доказанности наличия в действиях Харитонова В.Н. вменяемых ему нарушений законодательства о несостоятельности путём несоблюдении очерёдности удовлетворения требований кредиторов, признав наличие причинно-следственной связи между упомянутыми действиями ответчика и убытками на стороне уполномоченного органа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о пропуске срока исковой давности были предметом рассмотрения судов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«Завод «СтиропласТ» Харитонову Виктору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