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16.06.2021, оставленным без изменения постановлением Десятого арбитражного апелляционного суда от 05.08.2021, заявленные требования удовлетворены частично: по постановлению от 11.02.2021 № 50402102700014200004 административный штраф заменен на предупреждение; административный штраф по постановлению от 11.02.2021 № 50402102700038900004 снижен с 1 582 475 рублей 25 копеек до 791 237 рублей 62 копеек; административный штраф по постановлению от 11.02.2021 № 50402102700021200004 снижен с 1 462 576 рублей 50 копеек до 731 288 рублей 25 копеек. В удовлетворении остальной части требований отказано. Постановлением Арбитражного суда Московского округа от 22.11.2021 судебные акты оставлены без изменения. Общество обратилось в Верховный Суд Российской Федерации с кассационной жалобой, в которой просит судебные акты отменить, считая их незаконными и необоснованными,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Федерации.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административных правонарушений, предусмотренных частью 1 статьи 15.25 Кодекса Российской Федерации об административных правонарушениях. При этом суды, установив фактические обстоятельства дела связанные с вынесением административным органом трех постановлений о привлечении к ответственности признали наличие оснований для замены штрафа на предупреждение по одному из постановлений и снижения размера административного штрафа по оставшимся двум постановлениям.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 учетом установленных судами обстоятельств совершения правонарушений и привлечения к административной ответственности, отклонены по мотивам, подробно изложенным в соответствующих судебных актах. Доводы общества выводы судов не опровергают, направлены на переоценку доказательств и установление иных фактических обстоятельств дела, не свидетельствуют о существенных нарушениях судами норм материального права, а также требований процессуального законодательства, повлиявших на исход судебного разбирательства,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"Фирма Селена" (подробнее) Ответчики: МИФНС №1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